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32.2/04/2026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Grabenlose Kanalsanierung in der Goltermannstraße Stadt Seelze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Grabenlose Kanalsanierung in der Goltermannstraße Stadt Seelze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